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948FDC" w14:textId="27B204AD" w:rsidR="00D12EF6" w:rsidRDefault="00D12EF6" w:rsidP="006C08AD">
      <w:pPr>
        <w:tabs>
          <w:tab w:val="left" w:pos="270"/>
          <w:tab w:val="left" w:pos="4380"/>
          <w:tab w:val="center" w:pos="4680"/>
        </w:tabs>
        <w:rPr>
          <w:rFonts w:ascii="Arial" w:hAnsi="Arial" w:cs="Arial"/>
          <w:b/>
          <w:color w:val="4F81BD" w:themeColor="accent1"/>
          <w:sz w:val="22"/>
          <w:szCs w:val="22"/>
        </w:rPr>
      </w:pPr>
      <w:r>
        <w:rPr>
          <w:rFonts w:ascii="Arial" w:hAnsi="Arial" w:cs="Arial"/>
          <w:sz w:val="16"/>
        </w:rPr>
        <w:tab/>
      </w:r>
      <w:r>
        <w:rPr>
          <w:rFonts w:ascii="Arial" w:hAnsi="Arial" w:cs="Arial"/>
          <w:sz w:val="16"/>
        </w:rPr>
        <w:tab/>
      </w:r>
    </w:p>
    <w:p w14:paraId="605F17D6" w14:textId="77777777" w:rsidR="006C08AD" w:rsidRPr="006C08AD" w:rsidRDefault="006C08AD" w:rsidP="006C08AD">
      <w:pPr>
        <w:pStyle w:val="berschrift1"/>
        <w:rPr>
          <w:rFonts w:cs="Arial"/>
        </w:rPr>
      </w:pPr>
      <w:bookmarkStart w:id="0" w:name="_GoBack"/>
      <w:r w:rsidRPr="006C08AD">
        <w:rPr>
          <w:rFonts w:cs="Arial"/>
        </w:rPr>
        <w:t>Topcon-GNSS-Empfänger für großräumiges nationales Netz in Finnland ausgewählt</w:t>
      </w:r>
    </w:p>
    <w:bookmarkEnd w:id="0"/>
    <w:p w14:paraId="3B22447C" w14:textId="77777777" w:rsidR="006C08AD" w:rsidRPr="006C08AD" w:rsidRDefault="006C08AD" w:rsidP="006C08AD">
      <w:pPr>
        <w:rPr>
          <w:rFonts w:ascii="Arial" w:hAnsi="Arial" w:cs="Arial"/>
        </w:rPr>
      </w:pPr>
    </w:p>
    <w:p w14:paraId="2CAA176C" w14:textId="577E00DE" w:rsidR="006C08AD" w:rsidRDefault="006C08AD" w:rsidP="006C08AD">
      <w:pPr>
        <w:jc w:val="both"/>
        <w:rPr>
          <w:rFonts w:ascii="Arial" w:hAnsi="Arial" w:cs="Arial"/>
        </w:rPr>
      </w:pPr>
      <w:r w:rsidRPr="006C08AD">
        <w:rPr>
          <w:rFonts w:ascii="Arial" w:hAnsi="Arial" w:cs="Arial"/>
        </w:rPr>
        <w:t xml:space="preserve">CAPELLE A/D IJSSEL, Niederlande </w:t>
      </w:r>
      <w:r>
        <w:rPr>
          <w:rFonts w:ascii="Arial" w:hAnsi="Arial" w:cs="Arial"/>
        </w:rPr>
        <w:t xml:space="preserve">/ HAMBURG </w:t>
      </w:r>
      <w:r w:rsidRPr="006C08AD">
        <w:rPr>
          <w:rFonts w:ascii="Arial" w:hAnsi="Arial" w:cs="Arial"/>
        </w:rPr>
        <w:t>– 23. März 2016 – Topcon Europe Positioning B.V. hat den Zuschlag zur Lieferung von 400 GNSS-</w:t>
      </w:r>
      <w:r>
        <w:rPr>
          <w:rFonts w:ascii="Arial" w:hAnsi="Arial" w:cs="Arial"/>
        </w:rPr>
        <w:t>Netzwerkempfängern</w:t>
      </w:r>
      <w:r w:rsidRPr="006C08AD">
        <w:rPr>
          <w:rFonts w:ascii="Arial" w:hAnsi="Arial" w:cs="Arial"/>
        </w:rPr>
        <w:t xml:space="preserve"> des Modells HiPer SR an Maanmittauslaitos (NLS), das finnische Landesvermessungsamt, erhalten.</w:t>
      </w:r>
    </w:p>
    <w:p w14:paraId="17F42430" w14:textId="77777777" w:rsidR="006C08AD" w:rsidRPr="006C08AD" w:rsidRDefault="006C08AD" w:rsidP="006C08AD">
      <w:pPr>
        <w:jc w:val="both"/>
        <w:rPr>
          <w:rFonts w:ascii="Arial" w:hAnsi="Arial" w:cs="Arial"/>
        </w:rPr>
      </w:pPr>
    </w:p>
    <w:p w14:paraId="145163ED" w14:textId="77777777" w:rsidR="006C08AD" w:rsidRDefault="006C08AD" w:rsidP="006C08AD">
      <w:pPr>
        <w:jc w:val="both"/>
        <w:rPr>
          <w:rFonts w:ascii="Arial" w:hAnsi="Arial" w:cs="Arial"/>
        </w:rPr>
      </w:pPr>
      <w:r w:rsidRPr="006C08AD">
        <w:rPr>
          <w:rFonts w:ascii="Arial" w:hAnsi="Arial" w:cs="Arial"/>
        </w:rPr>
        <w:t>NLS betreut mehrere nationale Geodaten-Services online und an verschiedenen Standorten im ganzen Land. Zu den Nutzern gehören Grundbesitzer, Grundstücksmakler und Wanderer. Die Dienstleistungen umfassen unter anderem Grundstücksdaten, Katastervermessungen, gedruckte Kartenwerke und Veröffentlichungen, digitale Produkte und IKT-Services. </w:t>
      </w:r>
    </w:p>
    <w:p w14:paraId="0C1D0042" w14:textId="77777777" w:rsidR="006C08AD" w:rsidRPr="006C08AD" w:rsidRDefault="006C08AD" w:rsidP="006C08AD">
      <w:pPr>
        <w:jc w:val="both"/>
        <w:rPr>
          <w:rFonts w:ascii="Arial" w:hAnsi="Arial" w:cs="Arial"/>
        </w:rPr>
      </w:pPr>
    </w:p>
    <w:p w14:paraId="11733ED6" w14:textId="77777777" w:rsidR="006C08AD" w:rsidRDefault="006C08AD" w:rsidP="006C08AD">
      <w:pPr>
        <w:jc w:val="both"/>
        <w:rPr>
          <w:rFonts w:ascii="Arial" w:hAnsi="Arial" w:cs="Arial"/>
        </w:rPr>
      </w:pPr>
      <w:r w:rsidRPr="006C08AD">
        <w:rPr>
          <w:rFonts w:ascii="Arial" w:hAnsi="Arial" w:cs="Arial"/>
        </w:rPr>
        <w:t>Um den höchstmöglichen Arbeits- und Datenverarbeitungsstandard beizubehalten, führt NLS über vier Jahre eine Prüfung und Bewertung der Geomatik-Ausrüstung, -Services und -Lösungen durch. Dabei kommen 2016 bis 2020 hochgenaue GNSS-Lösungen von Topcon zum Einsatz.</w:t>
      </w:r>
    </w:p>
    <w:p w14:paraId="4F9FAE01" w14:textId="77777777" w:rsidR="006C08AD" w:rsidRPr="006C08AD" w:rsidRDefault="006C08AD" w:rsidP="006C08AD">
      <w:pPr>
        <w:jc w:val="both"/>
        <w:rPr>
          <w:rFonts w:ascii="Arial" w:hAnsi="Arial" w:cs="Arial"/>
        </w:rPr>
      </w:pPr>
    </w:p>
    <w:p w14:paraId="0D3E5304" w14:textId="77777777" w:rsidR="006C08AD" w:rsidRDefault="006C08AD" w:rsidP="006C08AD">
      <w:pPr>
        <w:jc w:val="both"/>
        <w:rPr>
          <w:rFonts w:ascii="Arial" w:hAnsi="Arial" w:cs="Arial"/>
        </w:rPr>
      </w:pPr>
      <w:r w:rsidRPr="006C08AD">
        <w:rPr>
          <w:rFonts w:ascii="Arial" w:hAnsi="Arial" w:cs="Arial"/>
        </w:rPr>
        <w:t>„Wir haben sehr eng mit unserem lokalen Ansprechpartner Topgeo Oy aus dem finnischen Vantaa zusammengearbeitet, um diese Ausschreibung zu gewinnen. Dass wir tatsächlich gewonnen haben, macht uns stolz“, sagt Tarja Montus, regionale Vertriebsleiterin bei Topcon Europe Positioning.</w:t>
      </w:r>
    </w:p>
    <w:p w14:paraId="3BE347E3" w14:textId="77777777" w:rsidR="006C08AD" w:rsidRPr="006C08AD" w:rsidRDefault="006C08AD" w:rsidP="006C08AD">
      <w:pPr>
        <w:jc w:val="both"/>
        <w:rPr>
          <w:rFonts w:ascii="Arial" w:hAnsi="Arial" w:cs="Arial"/>
        </w:rPr>
      </w:pPr>
    </w:p>
    <w:p w14:paraId="2B036791" w14:textId="77777777" w:rsidR="006C08AD" w:rsidRDefault="006C08AD" w:rsidP="006C08AD">
      <w:pPr>
        <w:jc w:val="both"/>
        <w:rPr>
          <w:rFonts w:ascii="Arial" w:hAnsi="Arial" w:cs="Arial"/>
        </w:rPr>
      </w:pPr>
      <w:r w:rsidRPr="006C08AD">
        <w:rPr>
          <w:rFonts w:ascii="Arial" w:hAnsi="Arial" w:cs="Arial"/>
        </w:rPr>
        <w:t>Die Auslieferung der Systeme erfolgt im Laufe der nächsten Monate – die ersten 75 Geräte wurden bereits an NLS übergeben.</w:t>
      </w:r>
    </w:p>
    <w:p w14:paraId="19499C0B" w14:textId="77777777" w:rsidR="006C08AD" w:rsidRPr="006C08AD" w:rsidRDefault="006C08AD" w:rsidP="006C08AD">
      <w:pPr>
        <w:jc w:val="both"/>
        <w:rPr>
          <w:rFonts w:ascii="Arial" w:hAnsi="Arial" w:cs="Arial"/>
        </w:rPr>
      </w:pPr>
    </w:p>
    <w:p w14:paraId="3CA8F879" w14:textId="77777777" w:rsidR="006C08AD" w:rsidRPr="006C08AD" w:rsidRDefault="006C08AD" w:rsidP="006C08AD">
      <w:pPr>
        <w:jc w:val="both"/>
        <w:rPr>
          <w:rFonts w:ascii="Arial" w:hAnsi="Arial" w:cs="Arial"/>
        </w:rPr>
      </w:pPr>
      <w:r w:rsidRPr="006C08AD">
        <w:rPr>
          <w:rFonts w:ascii="Arial" w:hAnsi="Arial" w:cs="Arial"/>
        </w:rPr>
        <w:t>„Maanmittauslaitos verwendet den Topcon HiPer SR für Außendienstarbeiten, um RTK-Daten für das nationale GNSS-Referenznetz bereitzustellen und davon zu empfangen“, erklärt Montus. „Außendiensttrupps nutzen die Software MAGNET® Field für eine reibungslose Zusammenarbeit zwischen Außen- und Innendienst.“</w:t>
      </w:r>
    </w:p>
    <w:p w14:paraId="395108C8" w14:textId="77777777" w:rsidR="006C08AD" w:rsidRDefault="006C08AD" w:rsidP="006C08AD">
      <w:pPr>
        <w:jc w:val="both"/>
        <w:rPr>
          <w:rFonts w:ascii="Arial" w:hAnsi="Arial" w:cs="Arial"/>
        </w:rPr>
      </w:pPr>
      <w:r w:rsidRPr="006C08AD">
        <w:rPr>
          <w:rFonts w:ascii="Arial" w:hAnsi="Arial" w:cs="Arial"/>
        </w:rPr>
        <w:t>Zu den MAGNET-Lösungen von Topcon gehört das cloudbasierte Produkt MAGNET Enterprise. Es vereinfacht Projektaufgaben und verbessert die Kommunikation zwischen Feld und Büro. Damit können Maschinen und Geräte überwacht werden. Auch eine Kommunikation mit den Mitarbeitern ist jederzeit möglich – sogar unterwegs. So stehen Projektdaten auf allen Geräten zur Verfügung und geben jederzeit Einblicke in den aktuellen Stand des Projekts.</w:t>
      </w:r>
    </w:p>
    <w:p w14:paraId="01C1159A" w14:textId="77777777" w:rsidR="006C08AD" w:rsidRPr="006C08AD" w:rsidRDefault="006C08AD" w:rsidP="006C08AD">
      <w:pPr>
        <w:jc w:val="both"/>
        <w:rPr>
          <w:rFonts w:ascii="Arial" w:hAnsi="Arial" w:cs="Arial"/>
        </w:rPr>
      </w:pPr>
    </w:p>
    <w:p w14:paraId="74CABDCA" w14:textId="77777777" w:rsidR="006C08AD" w:rsidRPr="006C08AD" w:rsidRDefault="006C08AD" w:rsidP="006C08AD">
      <w:pPr>
        <w:jc w:val="both"/>
        <w:rPr>
          <w:rFonts w:ascii="Arial" w:hAnsi="Arial" w:cs="Arial"/>
        </w:rPr>
      </w:pPr>
      <w:r w:rsidRPr="006C08AD">
        <w:rPr>
          <w:rFonts w:ascii="Arial" w:hAnsi="Arial" w:cs="Arial"/>
        </w:rPr>
        <w:t xml:space="preserve">Marko Ollikainen, leitender Produktivitätsexperte für Supportleistungen bei NLS, sagt: „NLS hat sich für die insgesamt wirtschaftlichste Lösung entschieden. Dabei haben wir </w:t>
      </w:r>
      <w:r w:rsidRPr="006C08AD">
        <w:rPr>
          <w:rFonts w:ascii="Arial" w:hAnsi="Arial" w:cs="Arial"/>
        </w:rPr>
        <w:lastRenderedPageBreak/>
        <w:t>den Preis und die Qualität berücksichtigt. Der wichtigste aller Qualitätsfaktoren für uns ist die Produktivität. Alle Geräte wurden in verschiedenen Teilen Finnlands in widrigem Gelände getestet, um Zuverlässigkeit und Effizienz zu bewerten. In den NLS-Vergleichstests glänzte Topcon durch die wenigsten Messfehler. Bei Zuverlässigkeit und Effizienz lagen die Geräte auf dem Spitzenplatz des Testfelds.“</w:t>
      </w:r>
    </w:p>
    <w:p w14:paraId="20DFE61F" w14:textId="77777777" w:rsidR="006C08AD" w:rsidRPr="006C08AD" w:rsidRDefault="006C08AD" w:rsidP="006C08AD">
      <w:pPr>
        <w:jc w:val="both"/>
        <w:rPr>
          <w:rFonts w:ascii="Arial" w:hAnsi="Arial" w:cs="Arial"/>
        </w:rPr>
      </w:pPr>
      <w:r w:rsidRPr="006C08AD">
        <w:rPr>
          <w:rFonts w:ascii="Arial" w:hAnsi="Arial" w:cs="Arial"/>
        </w:rPr>
        <w:t xml:space="preserve">Weitere Informationen zu NLS finden Sie auf </w:t>
      </w:r>
      <w:hyperlink r:id="rId8">
        <w:r w:rsidRPr="006C08AD">
          <w:rPr>
            <w:rStyle w:val="Hyperlink"/>
            <w:rFonts w:ascii="Arial" w:hAnsi="Arial" w:cs="Arial"/>
          </w:rPr>
          <w:t>www.maanmittauslaitos.fi</w:t>
        </w:r>
      </w:hyperlink>
      <w:r w:rsidRPr="006C08AD">
        <w:rPr>
          <w:rFonts w:ascii="Arial" w:hAnsi="Arial" w:cs="Arial"/>
        </w:rPr>
        <w:t>.</w:t>
      </w:r>
    </w:p>
    <w:p w14:paraId="1B718234" w14:textId="77777777" w:rsidR="002806FF" w:rsidRPr="005324DB" w:rsidRDefault="002806FF" w:rsidP="006C08AD">
      <w:pPr>
        <w:jc w:val="both"/>
        <w:rPr>
          <w:rFonts w:ascii="Arial" w:hAnsi="Arial" w:cs="Arial"/>
          <w:sz w:val="22"/>
          <w:szCs w:val="22"/>
        </w:rPr>
      </w:pPr>
    </w:p>
    <w:p w14:paraId="3AF5639C" w14:textId="1C3DB706" w:rsidR="006456AE" w:rsidRPr="002E5B73" w:rsidRDefault="00D12EF6" w:rsidP="00D12EF6">
      <w:pPr>
        <w:tabs>
          <w:tab w:val="left" w:pos="270"/>
          <w:tab w:val="left" w:pos="4380"/>
          <w:tab w:val="center" w:pos="4680"/>
        </w:tabs>
        <w:rPr>
          <w:rFonts w:ascii="Arial" w:hAnsi="Arial" w:cs="Arial"/>
          <w:sz w:val="16"/>
          <w:szCs w:val="18"/>
        </w:rPr>
      </w:pPr>
      <w:r>
        <w:rPr>
          <w:rFonts w:ascii="Arial" w:hAnsi="Arial" w:cs="Arial"/>
          <w:sz w:val="16"/>
        </w:rPr>
        <w:tab/>
      </w:r>
      <w:r>
        <w:rPr>
          <w:rFonts w:ascii="Arial" w:hAnsi="Arial" w:cs="Arial"/>
          <w:sz w:val="16"/>
        </w:rPr>
        <w:tab/>
      </w:r>
      <w:r>
        <w:rPr>
          <w:rFonts w:ascii="Arial" w:hAnsi="Arial" w:cs="Arial"/>
          <w:sz w:val="16"/>
        </w:rPr>
        <w:tab/>
      </w:r>
      <w:r w:rsidR="007530F6" w:rsidRPr="002E5B73">
        <w:rPr>
          <w:rFonts w:ascii="Arial" w:hAnsi="Arial" w:cs="Arial"/>
          <w:sz w:val="16"/>
        </w:rPr>
        <w:t># # #</w:t>
      </w:r>
    </w:p>
    <w:p w14:paraId="67DEA705" w14:textId="77777777" w:rsidR="00D70AF0" w:rsidRPr="002E5B73" w:rsidRDefault="00D70AF0" w:rsidP="00E07F73">
      <w:pPr>
        <w:tabs>
          <w:tab w:val="left" w:pos="270"/>
        </w:tabs>
        <w:jc w:val="center"/>
        <w:rPr>
          <w:rFonts w:ascii="Arial" w:hAnsi="Arial" w:cs="Arial"/>
          <w:sz w:val="16"/>
          <w:szCs w:val="18"/>
        </w:rPr>
      </w:pPr>
    </w:p>
    <w:p w14:paraId="6A474AE2" w14:textId="49A5BA78" w:rsidR="00C81D46" w:rsidRPr="002E5B73" w:rsidRDefault="001855FB" w:rsidP="00E07F73">
      <w:pPr>
        <w:tabs>
          <w:tab w:val="left" w:pos="270"/>
        </w:tabs>
        <w:rPr>
          <w:rFonts w:ascii="Arial" w:hAnsi="Arial" w:cs="Arial"/>
          <w:color w:val="808080" w:themeColor="background1" w:themeShade="80"/>
          <w:sz w:val="16"/>
          <w:szCs w:val="16"/>
        </w:rPr>
      </w:pPr>
      <w:r w:rsidRPr="002E5B73">
        <w:rPr>
          <w:rFonts w:ascii="Arial" w:hAnsi="Arial" w:cs="Arial"/>
          <w:b/>
          <w:color w:val="808080" w:themeColor="background1" w:themeShade="80"/>
          <w:sz w:val="16"/>
          <w:szCs w:val="16"/>
        </w:rPr>
        <w:t>Über die Topcon Positioning Group</w:t>
      </w:r>
      <w:r w:rsidRPr="002E5B73">
        <w:rPr>
          <w:rFonts w:ascii="Arial" w:hAnsi="Arial" w:cs="Arial"/>
          <w:b/>
          <w:color w:val="808080" w:themeColor="background1" w:themeShade="80"/>
          <w:sz w:val="16"/>
          <w:szCs w:val="16"/>
        </w:rPr>
        <w:br/>
      </w:r>
      <w:r w:rsidRPr="002E5B73">
        <w:rPr>
          <w:rFonts w:ascii="Arial" w:hAnsi="Arial" w:cs="Arial"/>
          <w:color w:val="808080" w:themeColor="background1" w:themeShade="80"/>
          <w:sz w:val="16"/>
          <w:szCs w:val="16"/>
        </w:rPr>
        <w:t xml:space="preserve">Der Hauptsitz der Topcon Positioning Group liegt in Livermore in Kalifornien (USA; </w:t>
      </w:r>
      <w:hyperlink r:id="rId9">
        <w:r w:rsidRPr="002E5B73">
          <w:rPr>
            <w:rStyle w:val="Hyperlink"/>
            <w:rFonts w:ascii="Arial" w:hAnsi="Arial" w:cs="Arial"/>
            <w:color w:val="808080" w:themeColor="background1" w:themeShade="80"/>
            <w:sz w:val="16"/>
            <w:szCs w:val="16"/>
          </w:rPr>
          <w:t>topconpositioning.com</w:t>
        </w:r>
      </w:hyperlink>
      <w:r w:rsidRPr="002E5B73">
        <w:rPr>
          <w:rFonts w:ascii="Arial" w:hAnsi="Arial" w:cs="Arial"/>
          <w:color w:val="808080" w:themeColor="background1" w:themeShade="80"/>
          <w:sz w:val="16"/>
          <w:szCs w:val="16"/>
        </w:rPr>
        <w:t>). Die Europazentrale befindet sich in Capelle a/d IJssel in den Niederlanden (</w:t>
      </w:r>
      <w:hyperlink r:id="rId10">
        <w:r w:rsidRPr="002E5B73">
          <w:rPr>
            <w:rStyle w:val="Hyperlink"/>
            <w:rFonts w:ascii="Arial" w:hAnsi="Arial" w:cs="Arial"/>
            <w:color w:val="808080" w:themeColor="background1" w:themeShade="80"/>
            <w:sz w:val="16"/>
            <w:szCs w:val="16"/>
          </w:rPr>
          <w:t>topconpositioning.eu</w:t>
        </w:r>
      </w:hyperlink>
      <w:r w:rsidRPr="002E5B73">
        <w:rPr>
          <w:rFonts w:ascii="Arial" w:hAnsi="Arial" w:cs="Arial"/>
          <w:color w:val="808080" w:themeColor="background1" w:themeShade="80"/>
          <w:sz w:val="16"/>
          <w:szCs w:val="16"/>
        </w:rPr>
        <w:t>). Die Topcon Positioning Group entwickelt, fertigt und vertreibt Produkte zur präzisen Positionsbestimmung und weltweit einsetzbare Lösungen für die Bereiche Vermessung, Bau, Landwirtschaft, Ingenieurbau, BIM, GIS-Datenerfassung, Anlagenverwaltung und Kataster sowie Maschinensteuerung.  Zu ihren Marken gehören Topcon, Sokkia, Tierra, Wachendorff Elektronik, Digi-Star, RDS Technology, NORAC und 2LS. Die Topcon Corporation (</w:t>
      </w:r>
      <w:hyperlink r:id="rId11">
        <w:r w:rsidRPr="002E5B73">
          <w:rPr>
            <w:rStyle w:val="Hyperlink"/>
            <w:rFonts w:ascii="Arial" w:hAnsi="Arial" w:cs="Arial"/>
            <w:color w:val="808080" w:themeColor="background1" w:themeShade="80"/>
            <w:sz w:val="16"/>
            <w:szCs w:val="16"/>
          </w:rPr>
          <w:t>topcon.com</w:t>
        </w:r>
      </w:hyperlink>
      <w:r w:rsidRPr="002E5B73">
        <w:rPr>
          <w:rFonts w:ascii="Arial" w:hAnsi="Arial" w:cs="Arial"/>
          <w:color w:val="808080" w:themeColor="background1" w:themeShade="80"/>
          <w:sz w:val="16"/>
          <w:szCs w:val="16"/>
        </w:rPr>
        <w:t>) wurde 1932 gegründet und ist an der Börse von Tokio notiert (TSE: 7732). </w:t>
      </w:r>
    </w:p>
    <w:p w14:paraId="3E54403A" w14:textId="77777777" w:rsidR="00711ACF" w:rsidRPr="002E5B73" w:rsidRDefault="00711ACF" w:rsidP="00E07F73">
      <w:pPr>
        <w:tabs>
          <w:tab w:val="left" w:pos="270"/>
        </w:tabs>
        <w:rPr>
          <w:rFonts w:ascii="Arial" w:hAnsi="Arial" w:cs="Arial"/>
          <w:color w:val="808080" w:themeColor="background1" w:themeShade="80"/>
          <w:sz w:val="16"/>
          <w:szCs w:val="18"/>
        </w:rPr>
      </w:pPr>
    </w:p>
    <w:p w14:paraId="0D45D19A" w14:textId="77777777" w:rsidR="00194DF8" w:rsidRPr="002E5B73" w:rsidRDefault="00194DF8" w:rsidP="00194DF8">
      <w:pPr>
        <w:rPr>
          <w:rFonts w:ascii="Arial" w:hAnsi="Arial" w:cs="Arial"/>
          <w:color w:val="808080" w:themeColor="background1" w:themeShade="80"/>
          <w:sz w:val="16"/>
          <w:szCs w:val="16"/>
        </w:rPr>
      </w:pPr>
      <w:r w:rsidRPr="002E5B73">
        <w:rPr>
          <w:rFonts w:ascii="Arial" w:hAnsi="Arial" w:cs="Arial"/>
          <w:color w:val="808080" w:themeColor="background1" w:themeShade="80"/>
          <w:sz w:val="16"/>
          <w:szCs w:val="16"/>
        </w:rPr>
        <w:t>Die TOPCON Deutschland Positioning GmbH mit Hauptsitz in Hamburg, ist für Vertrieb, Vermarktung und Kundendienst der Produkte zur Positionsbestimmung auf dem deutschen und teilweise deutschsprachigen Markt verantwortlich. Weitere Geschäftsbereiche der Gesamt-Corporation von Topcon sind Augenheilkunde und OEM.</w:t>
      </w:r>
    </w:p>
    <w:p w14:paraId="08390937" w14:textId="77777777" w:rsidR="00194DF8" w:rsidRPr="002E5B73" w:rsidRDefault="00194DF8" w:rsidP="00E07F73">
      <w:pPr>
        <w:tabs>
          <w:tab w:val="left" w:pos="270"/>
        </w:tabs>
        <w:rPr>
          <w:rFonts w:ascii="Arial" w:hAnsi="Arial" w:cs="Arial"/>
          <w:color w:val="808080" w:themeColor="background1" w:themeShade="80"/>
          <w:sz w:val="16"/>
          <w:szCs w:val="16"/>
        </w:rPr>
      </w:pPr>
    </w:p>
    <w:p w14:paraId="73C59904" w14:textId="77777777" w:rsidR="00EB1000" w:rsidRPr="002E5B73" w:rsidRDefault="00EB1000" w:rsidP="00E07F73">
      <w:pPr>
        <w:tabs>
          <w:tab w:val="left" w:pos="270"/>
        </w:tabs>
        <w:rPr>
          <w:rFonts w:ascii="Arial" w:hAnsi="Arial" w:cs="Arial"/>
          <w:b/>
          <w:color w:val="808080" w:themeColor="background1" w:themeShade="80"/>
          <w:sz w:val="14"/>
          <w:szCs w:val="18"/>
        </w:rPr>
      </w:pPr>
      <w:r w:rsidRPr="002E5B73">
        <w:rPr>
          <w:rFonts w:ascii="Arial" w:hAnsi="Arial" w:cs="Arial"/>
          <w:b/>
          <w:color w:val="808080" w:themeColor="background1" w:themeShade="80"/>
          <w:sz w:val="14"/>
        </w:rPr>
        <w:t>Pressekontakt</w:t>
      </w:r>
    </w:p>
    <w:p w14:paraId="37C04793" w14:textId="12591427" w:rsidR="00EB1000" w:rsidRPr="002E5B73" w:rsidRDefault="003A2090" w:rsidP="00E07F73">
      <w:pPr>
        <w:tabs>
          <w:tab w:val="left" w:pos="270"/>
        </w:tabs>
        <w:rPr>
          <w:rFonts w:ascii="Arial" w:hAnsi="Arial" w:cs="Arial"/>
          <w:color w:val="808080" w:themeColor="background1" w:themeShade="80"/>
          <w:sz w:val="14"/>
          <w:szCs w:val="18"/>
        </w:rPr>
      </w:pPr>
      <w:r w:rsidRPr="002E5B73">
        <w:rPr>
          <w:rFonts w:ascii="Arial" w:hAnsi="Arial" w:cs="Arial"/>
          <w:color w:val="808080" w:themeColor="background1" w:themeShade="80"/>
          <w:sz w:val="14"/>
        </w:rPr>
        <w:t>Deutschland: Julia Kirchner +49 201 861 92 62</w:t>
      </w:r>
      <w:r w:rsidR="007246CE" w:rsidRPr="002E5B73">
        <w:rPr>
          <w:rFonts w:ascii="Arial" w:hAnsi="Arial" w:cs="Arial"/>
          <w:color w:val="808080" w:themeColor="background1" w:themeShade="80"/>
          <w:sz w:val="14"/>
        </w:rPr>
        <w:t>, jkirchner@topcon.com</w:t>
      </w:r>
    </w:p>
    <w:p w14:paraId="658FC267" w14:textId="7E66E871" w:rsidR="00853C9A" w:rsidRPr="002E5B73" w:rsidRDefault="00EB1000" w:rsidP="00C81D46">
      <w:pPr>
        <w:tabs>
          <w:tab w:val="left" w:pos="270"/>
        </w:tabs>
        <w:rPr>
          <w:rFonts w:ascii="Arial" w:hAnsi="Arial" w:cs="Arial"/>
          <w:color w:val="808080" w:themeColor="background1" w:themeShade="80"/>
          <w:sz w:val="14"/>
          <w:szCs w:val="18"/>
        </w:rPr>
      </w:pPr>
      <w:r w:rsidRPr="002E5B73">
        <w:rPr>
          <w:rFonts w:ascii="Arial" w:hAnsi="Arial" w:cs="Arial"/>
          <w:color w:val="808080" w:themeColor="background1" w:themeShade="80"/>
          <w:sz w:val="14"/>
        </w:rPr>
        <w:t>Europa: Stuart Proctor +31 10 458 50 77</w:t>
      </w:r>
      <w:r w:rsidR="007246CE" w:rsidRPr="002E5B73">
        <w:rPr>
          <w:rFonts w:ascii="Arial" w:hAnsi="Arial" w:cs="Arial"/>
          <w:color w:val="808080" w:themeColor="background1" w:themeShade="80"/>
          <w:sz w:val="14"/>
        </w:rPr>
        <w:t>, stuart.proctor@topconsokkia.eu</w:t>
      </w:r>
    </w:p>
    <w:sectPr w:rsidR="00853C9A" w:rsidRPr="002E5B73" w:rsidSect="0009234C">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32FDD7" w14:textId="77777777" w:rsidR="00007FDB" w:rsidRDefault="00007FDB">
      <w:r>
        <w:separator/>
      </w:r>
    </w:p>
  </w:endnote>
  <w:endnote w:type="continuationSeparator" w:id="0">
    <w:p w14:paraId="57DF737C" w14:textId="77777777" w:rsidR="00007FDB" w:rsidRDefault="00007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250423" w14:textId="77777777" w:rsidR="00007FDB" w:rsidRDefault="00007FDB">
      <w:r>
        <w:separator/>
      </w:r>
    </w:p>
  </w:footnote>
  <w:footnote w:type="continuationSeparator" w:id="0">
    <w:p w14:paraId="4F5CE8D8" w14:textId="77777777" w:rsidR="00007FDB" w:rsidRDefault="00007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07FDB"/>
    <w:rsid w:val="000418C2"/>
    <w:rsid w:val="00073328"/>
    <w:rsid w:val="000872FF"/>
    <w:rsid w:val="0009234C"/>
    <w:rsid w:val="000B5413"/>
    <w:rsid w:val="000C3C4C"/>
    <w:rsid w:val="000C6429"/>
    <w:rsid w:val="000D117E"/>
    <w:rsid w:val="000F33B4"/>
    <w:rsid w:val="00105D3C"/>
    <w:rsid w:val="00156868"/>
    <w:rsid w:val="00163F32"/>
    <w:rsid w:val="00165ADA"/>
    <w:rsid w:val="00177523"/>
    <w:rsid w:val="001855FB"/>
    <w:rsid w:val="00194DF8"/>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06FF"/>
    <w:rsid w:val="00283421"/>
    <w:rsid w:val="002B2158"/>
    <w:rsid w:val="002B65A9"/>
    <w:rsid w:val="002E2BC8"/>
    <w:rsid w:val="002E5B73"/>
    <w:rsid w:val="002E5E21"/>
    <w:rsid w:val="002F1192"/>
    <w:rsid w:val="002F2610"/>
    <w:rsid w:val="002F30F2"/>
    <w:rsid w:val="00313F6E"/>
    <w:rsid w:val="0032173B"/>
    <w:rsid w:val="003217F4"/>
    <w:rsid w:val="00340920"/>
    <w:rsid w:val="00353911"/>
    <w:rsid w:val="00355294"/>
    <w:rsid w:val="003801D4"/>
    <w:rsid w:val="0039761D"/>
    <w:rsid w:val="003A2090"/>
    <w:rsid w:val="003A6C06"/>
    <w:rsid w:val="003A7243"/>
    <w:rsid w:val="003B1941"/>
    <w:rsid w:val="003B49D6"/>
    <w:rsid w:val="003B5D64"/>
    <w:rsid w:val="003C6648"/>
    <w:rsid w:val="003F134C"/>
    <w:rsid w:val="003F5E34"/>
    <w:rsid w:val="00413E95"/>
    <w:rsid w:val="00416269"/>
    <w:rsid w:val="0043387D"/>
    <w:rsid w:val="00433A38"/>
    <w:rsid w:val="00440293"/>
    <w:rsid w:val="00471166"/>
    <w:rsid w:val="004C2A52"/>
    <w:rsid w:val="004D1952"/>
    <w:rsid w:val="00513E5B"/>
    <w:rsid w:val="005324D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656E"/>
    <w:rsid w:val="006274D0"/>
    <w:rsid w:val="00636220"/>
    <w:rsid w:val="00637E81"/>
    <w:rsid w:val="0064309C"/>
    <w:rsid w:val="00644A87"/>
    <w:rsid w:val="006456AE"/>
    <w:rsid w:val="00653C74"/>
    <w:rsid w:val="00680671"/>
    <w:rsid w:val="006926B3"/>
    <w:rsid w:val="006B2A9A"/>
    <w:rsid w:val="006C08AD"/>
    <w:rsid w:val="006C5BA2"/>
    <w:rsid w:val="006E05C2"/>
    <w:rsid w:val="00711ACF"/>
    <w:rsid w:val="007246CE"/>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85C37"/>
    <w:rsid w:val="00891FF7"/>
    <w:rsid w:val="008962D4"/>
    <w:rsid w:val="008D0202"/>
    <w:rsid w:val="008E6FD9"/>
    <w:rsid w:val="008F54A3"/>
    <w:rsid w:val="0093532D"/>
    <w:rsid w:val="009434F4"/>
    <w:rsid w:val="00956EF7"/>
    <w:rsid w:val="009666D5"/>
    <w:rsid w:val="00975493"/>
    <w:rsid w:val="009864E1"/>
    <w:rsid w:val="009964DE"/>
    <w:rsid w:val="009A131F"/>
    <w:rsid w:val="00A0086C"/>
    <w:rsid w:val="00A06D66"/>
    <w:rsid w:val="00A47E24"/>
    <w:rsid w:val="00A55FC9"/>
    <w:rsid w:val="00A57BD4"/>
    <w:rsid w:val="00A60195"/>
    <w:rsid w:val="00A71326"/>
    <w:rsid w:val="00A9365C"/>
    <w:rsid w:val="00A976A5"/>
    <w:rsid w:val="00AA2A43"/>
    <w:rsid w:val="00AC09BA"/>
    <w:rsid w:val="00AC723E"/>
    <w:rsid w:val="00AE4ED5"/>
    <w:rsid w:val="00AE6481"/>
    <w:rsid w:val="00B35AF9"/>
    <w:rsid w:val="00B402B7"/>
    <w:rsid w:val="00B4058E"/>
    <w:rsid w:val="00B57ACE"/>
    <w:rsid w:val="00B9257E"/>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31391"/>
    <w:rsid w:val="00C638D1"/>
    <w:rsid w:val="00C7597C"/>
    <w:rsid w:val="00C81D46"/>
    <w:rsid w:val="00C92C21"/>
    <w:rsid w:val="00CD3455"/>
    <w:rsid w:val="00CE188F"/>
    <w:rsid w:val="00CE7843"/>
    <w:rsid w:val="00CF403B"/>
    <w:rsid w:val="00CF6B85"/>
    <w:rsid w:val="00CF7FC5"/>
    <w:rsid w:val="00D12EF6"/>
    <w:rsid w:val="00D47414"/>
    <w:rsid w:val="00D55832"/>
    <w:rsid w:val="00D62831"/>
    <w:rsid w:val="00D6369D"/>
    <w:rsid w:val="00D647FC"/>
    <w:rsid w:val="00D672DA"/>
    <w:rsid w:val="00D6784A"/>
    <w:rsid w:val="00D70AF0"/>
    <w:rsid w:val="00D70EE2"/>
    <w:rsid w:val="00D91CF0"/>
    <w:rsid w:val="00D979CB"/>
    <w:rsid w:val="00DC60A0"/>
    <w:rsid w:val="00E07F73"/>
    <w:rsid w:val="00E16158"/>
    <w:rsid w:val="00E32B47"/>
    <w:rsid w:val="00EB1000"/>
    <w:rsid w:val="00ED70D3"/>
    <w:rsid w:val="00EE33D2"/>
    <w:rsid w:val="00F0274D"/>
    <w:rsid w:val="00F463E2"/>
    <w:rsid w:val="00F55F20"/>
    <w:rsid w:val="00F757D3"/>
    <w:rsid w:val="00F7633E"/>
    <w:rsid w:val="00F81B4F"/>
    <w:rsid w:val="00F86AB9"/>
    <w:rsid w:val="00F86B3B"/>
    <w:rsid w:val="00F94B69"/>
    <w:rsid w:val="00F94E58"/>
    <w:rsid w:val="00FA3772"/>
    <w:rsid w:val="00FB0DA8"/>
    <w:rsid w:val="00FB146B"/>
    <w:rsid w:val="00FB4CB7"/>
    <w:rsid w:val="00FB613D"/>
    <w:rsid w:val="00FD032D"/>
    <w:rsid w:val="00FD070E"/>
    <w:rsid w:val="00FD6101"/>
    <w:rsid w:val="00FE01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6DEF77B5-E6AA-403F-92B8-2DA37C395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de-D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02764"/>
    <w:rPr>
      <w:sz w:val="24"/>
      <w:szCs w:val="24"/>
    </w:rPr>
  </w:style>
  <w:style w:type="paragraph" w:styleId="berschrift1">
    <w:name w:val="heading 1"/>
    <w:basedOn w:val="Standard"/>
    <w:next w:val="Standard"/>
    <w:link w:val="berschrift1Zchn"/>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340904"/>
    <w:rPr>
      <w:rFonts w:ascii="Lucida Grande" w:hAnsi="Lucida Grande"/>
      <w:sz w:val="18"/>
      <w:szCs w:val="18"/>
    </w:rPr>
  </w:style>
  <w:style w:type="paragraph" w:styleId="Kopfzeile">
    <w:name w:val="header"/>
    <w:basedOn w:val="Standard"/>
    <w:rsid w:val="00B02764"/>
    <w:pPr>
      <w:tabs>
        <w:tab w:val="center" w:pos="4320"/>
        <w:tab w:val="right" w:pos="8640"/>
      </w:tabs>
    </w:pPr>
  </w:style>
  <w:style w:type="paragraph" w:styleId="Fuzeile">
    <w:name w:val="footer"/>
    <w:basedOn w:val="Standard"/>
    <w:semiHidden/>
    <w:rsid w:val="00B02764"/>
    <w:pPr>
      <w:tabs>
        <w:tab w:val="center" w:pos="4320"/>
        <w:tab w:val="right" w:pos="8640"/>
      </w:tabs>
    </w:pPr>
  </w:style>
  <w:style w:type="character" w:styleId="Seitenzahl">
    <w:name w:val="page number"/>
    <w:basedOn w:val="Absatz-Standardschriftart"/>
    <w:rsid w:val="00B02764"/>
  </w:style>
  <w:style w:type="paragraph" w:styleId="StandardWeb">
    <w:name w:val="Normal (Web)"/>
    <w:basedOn w:val="Standard"/>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BesuchterHyperlink">
    <w:name w:val="FollowedHyperlink"/>
    <w:uiPriority w:val="99"/>
    <w:semiHidden/>
    <w:unhideWhenUsed/>
    <w:rsid w:val="0061580F"/>
    <w:rPr>
      <w:color w:val="800080"/>
      <w:u w:val="single"/>
    </w:rPr>
  </w:style>
  <w:style w:type="character" w:customStyle="1" w:styleId="berschrift1Zchn">
    <w:name w:val="Überschrift 1 Zchn"/>
    <w:basedOn w:val="Absatz-Standardschriftart"/>
    <w:link w:val="berschrift1"/>
    <w:uiPriority w:val="9"/>
    <w:rsid w:val="00413E95"/>
    <w:rPr>
      <w:rFonts w:ascii="Arial" w:eastAsiaTheme="majorEastAsia" w:hAnsi="Arial" w:cstheme="majorBidi"/>
      <w:b/>
      <w:bCs/>
      <w:color w:val="000000" w:themeColor="text1"/>
      <w:sz w:val="44"/>
      <w:szCs w:val="32"/>
    </w:rPr>
  </w:style>
  <w:style w:type="character" w:styleId="Kommentarzeichen">
    <w:name w:val="annotation reference"/>
    <w:basedOn w:val="Absatz-Standardschriftart"/>
    <w:uiPriority w:val="99"/>
    <w:semiHidden/>
    <w:unhideWhenUsed/>
    <w:rsid w:val="00AC723E"/>
    <w:rPr>
      <w:sz w:val="16"/>
      <w:szCs w:val="16"/>
    </w:rPr>
  </w:style>
  <w:style w:type="paragraph" w:styleId="Kommentartext">
    <w:name w:val="annotation text"/>
    <w:basedOn w:val="Standard"/>
    <w:link w:val="KommentartextZchn"/>
    <w:uiPriority w:val="99"/>
    <w:semiHidden/>
    <w:unhideWhenUsed/>
    <w:rsid w:val="00AC723E"/>
    <w:rPr>
      <w:sz w:val="20"/>
      <w:szCs w:val="20"/>
    </w:rPr>
  </w:style>
  <w:style w:type="character" w:customStyle="1" w:styleId="KommentartextZchn">
    <w:name w:val="Kommentartext Zchn"/>
    <w:basedOn w:val="Absatz-Standardschriftart"/>
    <w:link w:val="Kommentartext"/>
    <w:uiPriority w:val="99"/>
    <w:semiHidden/>
    <w:rsid w:val="00AC723E"/>
  </w:style>
  <w:style w:type="paragraph" w:styleId="Kommentarthema">
    <w:name w:val="annotation subject"/>
    <w:basedOn w:val="Kommentartext"/>
    <w:next w:val="Kommentartext"/>
    <w:link w:val="KommentarthemaZchn"/>
    <w:uiPriority w:val="99"/>
    <w:semiHidden/>
    <w:unhideWhenUsed/>
    <w:rsid w:val="00AC723E"/>
    <w:rPr>
      <w:b/>
      <w:bCs/>
    </w:rPr>
  </w:style>
  <w:style w:type="character" w:customStyle="1" w:styleId="KommentarthemaZchn">
    <w:name w:val="Kommentarthema Zchn"/>
    <w:basedOn w:val="KommentartextZchn"/>
    <w:link w:val="Kommentarthema"/>
    <w:uiPriority w:val="99"/>
    <w:semiHidden/>
    <w:rsid w:val="00AC72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anmittauslaitos.f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lobal.topcon.com/" TargetMode="External"/><Relationship Id="rId5" Type="http://schemas.openxmlformats.org/officeDocument/2006/relationships/webSettings" Target="webSettings.xml"/><Relationship Id="rId10" Type="http://schemas.openxmlformats.org/officeDocument/2006/relationships/hyperlink" Target="http://www.topconpositioning.eu/" TargetMode="External"/><Relationship Id="rId4" Type="http://schemas.openxmlformats.org/officeDocument/2006/relationships/settings" Target="settings.xml"/><Relationship Id="rId9" Type="http://schemas.openxmlformats.org/officeDocument/2006/relationships/hyperlink" Target="https://www.topconpositio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4E77E-60C5-4D23-B230-71813D83A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3590</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TPG Press Release Template</vt:lpstr>
      <vt:lpstr>This is the press release title</vt:lpstr>
    </vt:vector>
  </TitlesOfParts>
  <Manager>Achiel Sturm</Manager>
  <Company>Topcon Positioning Group</Company>
  <LinksUpToDate>false</LinksUpToDate>
  <CharactersWithSpaces>4151</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Julia Kirchner</cp:lastModifiedBy>
  <cp:revision>2</cp:revision>
  <cp:lastPrinted>2015-08-13T12:52:00Z</cp:lastPrinted>
  <dcterms:created xsi:type="dcterms:W3CDTF">2016-03-23T15:18:00Z</dcterms:created>
  <dcterms:modified xsi:type="dcterms:W3CDTF">2016-03-23T15:18:00Z</dcterms:modified>
  <cp:category/>
</cp:coreProperties>
</file>